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B9282" w14:textId="77777777" w:rsidR="007116B8" w:rsidRDefault="007116B8" w:rsidP="007116B8">
      <w:pPr>
        <w:pStyle w:val="Tytu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Harmonogram ćwiczeń z Przedmiotu</w:t>
      </w:r>
    </w:p>
    <w:p w14:paraId="2E607AA4" w14:textId="6309EF80" w:rsidR="007116B8" w:rsidRDefault="007116B8" w:rsidP="007116B8">
      <w:pPr>
        <w:pStyle w:val="Tytu"/>
        <w:rPr>
          <w:smallCaps/>
          <w:sz w:val="28"/>
          <w:szCs w:val="28"/>
        </w:rPr>
      </w:pPr>
      <w:r w:rsidRPr="00855FF5">
        <w:rPr>
          <w:smallCaps/>
          <w:sz w:val="28"/>
          <w:szCs w:val="28"/>
        </w:rPr>
        <w:t>Mikrobiologiczne bezpieczeństwo żywności</w:t>
      </w:r>
      <w:r>
        <w:rPr>
          <w:smallCaps/>
          <w:sz w:val="28"/>
          <w:szCs w:val="28"/>
        </w:rPr>
        <w:t xml:space="preserve"> - rok II, II</w:t>
      </w:r>
      <w:r>
        <w:rPr>
          <w:smallCaps/>
          <w:sz w:val="28"/>
          <w:szCs w:val="28"/>
        </w:rPr>
        <w:sym w:font="Symbol" w:char="F0B0"/>
      </w:r>
    </w:p>
    <w:p w14:paraId="464DB155" w14:textId="77777777" w:rsidR="007116B8" w:rsidRDefault="007116B8" w:rsidP="007116B8">
      <w:pPr>
        <w:pStyle w:val="Tytu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Kierunek: Gastronomia- sztuka kulinarna</w:t>
      </w:r>
    </w:p>
    <w:p w14:paraId="274B857A" w14:textId="734A4F83" w:rsidR="003B2289" w:rsidRDefault="003B2289" w:rsidP="007116B8">
      <w:pPr>
        <w:pStyle w:val="Tytu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rok akademicki 2024/25</w:t>
      </w:r>
    </w:p>
    <w:p w14:paraId="2D98D5DC" w14:textId="77777777" w:rsidR="007116B8" w:rsidRDefault="007116B8" w:rsidP="007116B8">
      <w:pPr>
        <w:spacing w:line="360" w:lineRule="auto"/>
        <w:jc w:val="center"/>
        <w:rPr>
          <w:b/>
          <w:bCs/>
          <w:color w:val="FF0000"/>
          <w:lang w:val="pl-PL"/>
        </w:rPr>
      </w:pPr>
    </w:p>
    <w:p w14:paraId="5B511371" w14:textId="77777777" w:rsidR="007116B8" w:rsidRPr="0036310A" w:rsidRDefault="007116B8" w:rsidP="007116B8">
      <w:pPr>
        <w:pStyle w:val="Tekstpodstawowy2"/>
        <w:rPr>
          <w:b/>
          <w:bCs/>
          <w:sz w:val="10"/>
          <w:szCs w:val="10"/>
          <w:u w:val="single"/>
        </w:rPr>
      </w:pPr>
    </w:p>
    <w:p w14:paraId="5063AA92" w14:textId="3B426AFF" w:rsidR="007116B8" w:rsidRPr="00855FF5" w:rsidRDefault="0036310A" w:rsidP="003B2289">
      <w:pPr>
        <w:pStyle w:val="Tekstpodstawowy2"/>
        <w:spacing w:line="276" w:lineRule="auto"/>
        <w:rPr>
          <w:color w:val="FF0000"/>
        </w:rPr>
      </w:pPr>
      <w:r w:rsidRPr="0036310A">
        <w:rPr>
          <w:b/>
          <w:bCs/>
        </w:rPr>
        <w:t>ĆWICZENIE 1.</w:t>
      </w:r>
      <w:r>
        <w:t xml:space="preserve"> </w:t>
      </w:r>
      <w:r w:rsidR="003B2289">
        <w:rPr>
          <w:color w:val="FF0000"/>
        </w:rPr>
        <w:t>05</w:t>
      </w:r>
      <w:r>
        <w:rPr>
          <w:color w:val="FF0000"/>
        </w:rPr>
        <w:t>.03.202</w:t>
      </w:r>
      <w:r w:rsidR="003B2289">
        <w:rPr>
          <w:color w:val="FF0000"/>
        </w:rPr>
        <w:t>5</w:t>
      </w:r>
      <w:r>
        <w:rPr>
          <w:color w:val="FF0000"/>
        </w:rPr>
        <w:t xml:space="preserve">. </w:t>
      </w:r>
      <w:r w:rsidR="007116B8" w:rsidRPr="00855FF5">
        <w:t xml:space="preserve">Mikrobiologiczna analiza </w:t>
      </w:r>
      <w:r w:rsidR="00BF17BD">
        <w:t>żywności pod k</w:t>
      </w:r>
      <w:r>
        <w:t>ą</w:t>
      </w:r>
      <w:r w:rsidR="00BF17BD">
        <w:t xml:space="preserve">tem obecności </w:t>
      </w:r>
      <w:r>
        <w:br/>
        <w:t xml:space="preserve">i oznaczania liczby </w:t>
      </w:r>
      <w:r w:rsidR="00BF17BD">
        <w:t>drobnoustrojów chorobotwórczych</w:t>
      </w:r>
      <w:r w:rsidR="007116B8">
        <w:t xml:space="preserve"> </w:t>
      </w:r>
      <w:r w:rsidR="00BF17BD">
        <w:t xml:space="preserve">stanowiących kryterium bezpieczeństwa żywności </w:t>
      </w:r>
      <w:r w:rsidR="007116B8">
        <w:t xml:space="preserve">cz. I. </w:t>
      </w:r>
    </w:p>
    <w:p w14:paraId="0C7E89CF" w14:textId="77777777" w:rsidR="00BF17BD" w:rsidRPr="0036310A" w:rsidRDefault="00BF17BD" w:rsidP="003B2289">
      <w:pPr>
        <w:spacing w:line="276" w:lineRule="auto"/>
        <w:jc w:val="both"/>
        <w:rPr>
          <w:b/>
          <w:bCs/>
          <w:sz w:val="21"/>
          <w:szCs w:val="21"/>
          <w:u w:val="single"/>
          <w:lang w:val="pl-PL"/>
        </w:rPr>
      </w:pPr>
    </w:p>
    <w:p w14:paraId="1A9378AF" w14:textId="1205B386" w:rsidR="007116B8" w:rsidRPr="00855FF5" w:rsidRDefault="0036310A" w:rsidP="003B2289">
      <w:pPr>
        <w:spacing w:line="276" w:lineRule="auto"/>
        <w:jc w:val="both"/>
        <w:rPr>
          <w:lang w:val="pl-PL"/>
        </w:rPr>
      </w:pPr>
      <w:r w:rsidRPr="0036310A">
        <w:rPr>
          <w:b/>
          <w:bCs/>
          <w:lang w:val="pl-PL"/>
        </w:rPr>
        <w:t>ĆWICZENIE 2.</w:t>
      </w:r>
      <w:r>
        <w:rPr>
          <w:lang w:val="pl-PL"/>
        </w:rPr>
        <w:t xml:space="preserve"> </w:t>
      </w:r>
      <w:r>
        <w:rPr>
          <w:color w:val="FF0000"/>
          <w:lang w:val="pl-PL"/>
        </w:rPr>
        <w:t>1</w:t>
      </w:r>
      <w:r w:rsidR="003B2289">
        <w:rPr>
          <w:color w:val="FF0000"/>
          <w:lang w:val="pl-PL"/>
        </w:rPr>
        <w:t>2</w:t>
      </w:r>
      <w:r>
        <w:rPr>
          <w:color w:val="FF0000"/>
          <w:lang w:val="pl-PL"/>
        </w:rPr>
        <w:t>.03.202</w:t>
      </w:r>
      <w:r w:rsidR="003B2289">
        <w:rPr>
          <w:color w:val="FF0000"/>
          <w:lang w:val="pl-PL"/>
        </w:rPr>
        <w:t>5</w:t>
      </w:r>
      <w:r>
        <w:rPr>
          <w:color w:val="FF0000"/>
          <w:lang w:val="pl-PL"/>
        </w:rPr>
        <w:t xml:space="preserve">. </w:t>
      </w:r>
      <w:r w:rsidR="00BF17BD" w:rsidRPr="003B2289">
        <w:rPr>
          <w:lang w:val="pl-PL"/>
        </w:rPr>
        <w:t xml:space="preserve">Mikrobiologiczna analiza żywności </w:t>
      </w:r>
      <w:r w:rsidRPr="003B2289">
        <w:rPr>
          <w:lang w:val="pl-PL"/>
        </w:rPr>
        <w:t xml:space="preserve">pod kątem obecności </w:t>
      </w:r>
      <w:r w:rsidRPr="003B2289">
        <w:rPr>
          <w:lang w:val="pl-PL"/>
        </w:rPr>
        <w:br/>
        <w:t>i oznaczania liczby</w:t>
      </w:r>
      <w:r w:rsidR="00BF17BD" w:rsidRPr="003B2289">
        <w:rPr>
          <w:lang w:val="pl-PL"/>
        </w:rPr>
        <w:t xml:space="preserve"> drobnoustrojów chorobotwórczych stanowiących kryterium bezpieczeństwa żywności cz. II</w:t>
      </w:r>
      <w:r w:rsidR="007116B8" w:rsidRPr="00855FF5">
        <w:rPr>
          <w:lang w:val="pl-PL"/>
        </w:rPr>
        <w:t>.</w:t>
      </w:r>
      <w:r w:rsidR="007116B8" w:rsidRPr="00A2576C">
        <w:rPr>
          <w:color w:val="FF0000"/>
          <w:lang w:val="pl-PL"/>
        </w:rPr>
        <w:t xml:space="preserve"> </w:t>
      </w:r>
    </w:p>
    <w:p w14:paraId="26899CA7" w14:textId="3805077C" w:rsidR="007116B8" w:rsidRPr="00BF17BD" w:rsidRDefault="007116B8" w:rsidP="003B2289">
      <w:pPr>
        <w:spacing w:line="276" w:lineRule="auto"/>
        <w:jc w:val="both"/>
        <w:rPr>
          <w:i/>
          <w:iCs/>
          <w:lang w:val="pl-PL"/>
        </w:rPr>
      </w:pPr>
      <w:r w:rsidRPr="00BF17BD">
        <w:rPr>
          <w:b/>
          <w:bCs/>
          <w:i/>
          <w:iCs/>
          <w:color w:val="165FB9"/>
          <w:lang w:val="pl-PL"/>
        </w:rPr>
        <w:t>Kolokwium 1</w:t>
      </w:r>
      <w:r w:rsidRPr="00BF17BD">
        <w:rPr>
          <w:i/>
          <w:iCs/>
          <w:color w:val="165FB9"/>
          <w:lang w:val="pl-PL"/>
        </w:rPr>
        <w:t xml:space="preserve"> – Oznaczanie liczby i obecności drobnoustrojów </w:t>
      </w:r>
      <w:r w:rsidR="00BF17BD" w:rsidRPr="00BF17BD">
        <w:rPr>
          <w:i/>
          <w:iCs/>
          <w:color w:val="165FB9"/>
          <w:lang w:val="pl-PL"/>
        </w:rPr>
        <w:t xml:space="preserve">patogennych </w:t>
      </w:r>
      <w:r w:rsidRPr="00BF17BD">
        <w:rPr>
          <w:i/>
          <w:iCs/>
          <w:color w:val="165FB9"/>
          <w:lang w:val="pl-PL"/>
        </w:rPr>
        <w:t>w żywności, charakterystyka drobnoustrojów i podłóż stosowanych do ich oznaczania na ćwiczeniu 1 i 2</w:t>
      </w:r>
      <w:r w:rsidRPr="00BF17BD">
        <w:rPr>
          <w:i/>
          <w:iCs/>
          <w:color w:val="0432FF"/>
          <w:lang w:val="pl-PL"/>
        </w:rPr>
        <w:t>.</w:t>
      </w:r>
    </w:p>
    <w:p w14:paraId="6ACB5104" w14:textId="77777777" w:rsidR="00BF17BD" w:rsidRPr="0036310A" w:rsidRDefault="00BF17BD" w:rsidP="003B2289">
      <w:pPr>
        <w:spacing w:line="276" w:lineRule="auto"/>
        <w:jc w:val="both"/>
        <w:rPr>
          <w:b/>
          <w:bCs/>
          <w:sz w:val="21"/>
          <w:szCs w:val="21"/>
          <w:u w:val="single"/>
          <w:lang w:val="pl-PL"/>
        </w:rPr>
      </w:pPr>
    </w:p>
    <w:p w14:paraId="0BAADCB5" w14:textId="68C52B1A" w:rsidR="00BF17BD" w:rsidRDefault="0036310A" w:rsidP="003B2289">
      <w:pPr>
        <w:spacing w:line="276" w:lineRule="auto"/>
        <w:jc w:val="both"/>
        <w:rPr>
          <w:lang w:val="pl-PL"/>
        </w:rPr>
      </w:pPr>
      <w:r w:rsidRPr="0036310A">
        <w:rPr>
          <w:b/>
          <w:bCs/>
          <w:lang w:val="pl-PL"/>
        </w:rPr>
        <w:t>ĆWICZENIE 3.</w:t>
      </w:r>
      <w:r>
        <w:rPr>
          <w:lang w:val="pl-PL"/>
        </w:rPr>
        <w:t xml:space="preserve"> </w:t>
      </w:r>
      <w:r w:rsidR="003B2289">
        <w:rPr>
          <w:color w:val="FF0000"/>
          <w:lang w:val="pl-PL"/>
        </w:rPr>
        <w:t>19</w:t>
      </w:r>
      <w:r>
        <w:rPr>
          <w:color w:val="FF0000"/>
          <w:lang w:val="pl-PL"/>
        </w:rPr>
        <w:t>.03.202</w:t>
      </w:r>
      <w:r w:rsidR="003B2289">
        <w:rPr>
          <w:color w:val="FF0000"/>
          <w:lang w:val="pl-PL"/>
        </w:rPr>
        <w:t>5</w:t>
      </w:r>
      <w:r>
        <w:rPr>
          <w:color w:val="FF0000"/>
          <w:lang w:val="pl-PL"/>
        </w:rPr>
        <w:t xml:space="preserve">. </w:t>
      </w:r>
      <w:r w:rsidR="00BF17BD" w:rsidRPr="0008273E">
        <w:rPr>
          <w:lang w:val="pl-PL"/>
        </w:rPr>
        <w:t>Alternatywne metody oznaczania drobnoustrojów chorobotwórczych w żywności</w:t>
      </w:r>
    </w:p>
    <w:p w14:paraId="084B8CA9" w14:textId="1F21C0C4" w:rsidR="007116B8" w:rsidRDefault="00BF17BD" w:rsidP="003B2289">
      <w:pPr>
        <w:spacing w:line="276" w:lineRule="auto"/>
        <w:jc w:val="both"/>
        <w:rPr>
          <w:color w:val="FF0000"/>
          <w:lang w:val="pl-PL"/>
        </w:rPr>
      </w:pPr>
      <w:r>
        <w:rPr>
          <w:color w:val="FF0000"/>
          <w:lang w:val="pl-PL"/>
        </w:rPr>
        <w:t xml:space="preserve"> </w:t>
      </w:r>
      <w:r w:rsidRPr="00BF17BD">
        <w:rPr>
          <w:color w:val="000000" w:themeColor="text1"/>
          <w:lang w:val="pl-PL"/>
        </w:rPr>
        <w:t xml:space="preserve">cz. I. </w:t>
      </w:r>
      <w:r w:rsidRPr="00BF17BD">
        <w:rPr>
          <w:b/>
          <w:bCs/>
          <w:color w:val="4472C4" w:themeColor="accent1"/>
          <w:lang w:val="pl-PL"/>
        </w:rPr>
        <w:t>Poprawa kolokwium I</w:t>
      </w:r>
      <w:r w:rsidRPr="00BF17BD">
        <w:rPr>
          <w:color w:val="4472C4" w:themeColor="accent1"/>
          <w:lang w:val="pl-PL"/>
        </w:rPr>
        <w:t>.</w:t>
      </w:r>
    </w:p>
    <w:p w14:paraId="53315B56" w14:textId="77777777" w:rsidR="00BF17BD" w:rsidRPr="0036310A" w:rsidRDefault="00BF17BD" w:rsidP="003B2289">
      <w:pPr>
        <w:spacing w:line="276" w:lineRule="auto"/>
        <w:jc w:val="both"/>
        <w:rPr>
          <w:b/>
          <w:bCs/>
          <w:sz w:val="21"/>
          <w:szCs w:val="21"/>
          <w:u w:val="single"/>
          <w:lang w:val="pl-PL"/>
        </w:rPr>
      </w:pPr>
    </w:p>
    <w:p w14:paraId="5B6CACB9" w14:textId="600E25C7" w:rsidR="007116B8" w:rsidRPr="0036310A" w:rsidRDefault="0036310A" w:rsidP="003B2289">
      <w:pPr>
        <w:spacing w:line="276" w:lineRule="auto"/>
        <w:jc w:val="both"/>
        <w:rPr>
          <w:lang w:val="pl-PL"/>
        </w:rPr>
      </w:pPr>
      <w:r w:rsidRPr="0036310A">
        <w:rPr>
          <w:b/>
          <w:bCs/>
          <w:lang w:val="pl-PL"/>
        </w:rPr>
        <w:t>ĆWICZENIE 4.</w:t>
      </w:r>
      <w:r>
        <w:rPr>
          <w:lang w:val="pl-PL"/>
        </w:rPr>
        <w:t xml:space="preserve"> </w:t>
      </w:r>
      <w:r w:rsidR="003B2289">
        <w:rPr>
          <w:color w:val="FF0000"/>
          <w:lang w:val="pl-PL"/>
        </w:rPr>
        <w:t>26</w:t>
      </w:r>
      <w:r>
        <w:rPr>
          <w:color w:val="FF0000"/>
          <w:lang w:val="pl-PL"/>
        </w:rPr>
        <w:t>.0</w:t>
      </w:r>
      <w:r w:rsidR="003B2289">
        <w:rPr>
          <w:color w:val="FF0000"/>
          <w:lang w:val="pl-PL"/>
        </w:rPr>
        <w:t>3</w:t>
      </w:r>
      <w:r>
        <w:rPr>
          <w:color w:val="FF0000"/>
          <w:lang w:val="pl-PL"/>
        </w:rPr>
        <w:t>.202</w:t>
      </w:r>
      <w:r w:rsidR="003B2289">
        <w:rPr>
          <w:color w:val="FF0000"/>
          <w:lang w:val="pl-PL"/>
        </w:rPr>
        <w:t>5</w:t>
      </w:r>
      <w:r>
        <w:rPr>
          <w:color w:val="FF0000"/>
          <w:lang w:val="pl-PL"/>
        </w:rPr>
        <w:t xml:space="preserve">. </w:t>
      </w:r>
      <w:r w:rsidR="00BF17BD" w:rsidRPr="0008273E">
        <w:rPr>
          <w:lang w:val="pl-PL"/>
        </w:rPr>
        <w:t>Alternatywne metody oznaczania drobnoustrojów chorobotwórczych w żywności</w:t>
      </w:r>
      <w:r w:rsidR="00BF17BD">
        <w:rPr>
          <w:color w:val="FF0000"/>
          <w:lang w:val="pl-PL"/>
        </w:rPr>
        <w:t xml:space="preserve"> </w:t>
      </w:r>
      <w:r w:rsidR="00BF17BD" w:rsidRPr="00BF17BD">
        <w:rPr>
          <w:color w:val="000000" w:themeColor="text1"/>
          <w:lang w:val="pl-PL"/>
        </w:rPr>
        <w:t>cz. I</w:t>
      </w:r>
      <w:r w:rsidR="00BF17BD">
        <w:rPr>
          <w:color w:val="000000" w:themeColor="text1"/>
          <w:lang w:val="pl-PL"/>
        </w:rPr>
        <w:t>I.</w:t>
      </w:r>
      <w:r w:rsidR="00BF17BD">
        <w:rPr>
          <w:lang w:val="pl-PL"/>
        </w:rPr>
        <w:t xml:space="preserve">  </w:t>
      </w:r>
      <w:r w:rsidR="00BF17BD" w:rsidRPr="003B2289">
        <w:rPr>
          <w:lang w:val="pl-PL"/>
        </w:rPr>
        <w:t xml:space="preserve">Wrażliwość mikroflory chorobotwórczej na wybrane czynniki fizyczne i chemiczne wykorzystywane w gastronomii cz. I. </w:t>
      </w:r>
    </w:p>
    <w:p w14:paraId="15128542" w14:textId="57778ED2" w:rsidR="00BF17BD" w:rsidRPr="00BF17BD" w:rsidRDefault="00BF17BD" w:rsidP="003B2289">
      <w:pPr>
        <w:pStyle w:val="Tekstpodstawowy2"/>
        <w:spacing w:line="276" w:lineRule="auto"/>
        <w:rPr>
          <w:i/>
          <w:iCs/>
        </w:rPr>
      </w:pPr>
      <w:r w:rsidRPr="00BF17BD">
        <w:rPr>
          <w:b/>
          <w:bCs/>
          <w:i/>
          <w:iCs/>
          <w:color w:val="165FB9"/>
        </w:rPr>
        <w:t xml:space="preserve">Kolokwium II </w:t>
      </w:r>
      <w:r w:rsidRPr="00BF17BD">
        <w:rPr>
          <w:i/>
          <w:iCs/>
          <w:color w:val="165FB9"/>
        </w:rPr>
        <w:t>– zakres: metody alternatywne stosowane w oznaczaniu mikroflory patogennej w żywności – spektroskopia mas, PCR, techniki immunoenzymatyczne, metody fluorescencyjne; wpływ czynników przetwarzania i przechowywania żywności na drobnoustroje chorobotwórcze.</w:t>
      </w:r>
    </w:p>
    <w:p w14:paraId="6B7E3DC6" w14:textId="77777777" w:rsidR="00BF17BD" w:rsidRPr="0036310A" w:rsidRDefault="00BF17BD" w:rsidP="003B2289">
      <w:pPr>
        <w:pStyle w:val="Tekstpodstawowy2"/>
        <w:spacing w:line="276" w:lineRule="auto"/>
        <w:rPr>
          <w:b/>
          <w:bCs/>
          <w:sz w:val="21"/>
          <w:szCs w:val="21"/>
          <w:u w:val="single"/>
        </w:rPr>
      </w:pPr>
    </w:p>
    <w:p w14:paraId="738FCA3E" w14:textId="476344BD" w:rsidR="0036310A" w:rsidRDefault="0036310A" w:rsidP="003B2289">
      <w:pPr>
        <w:pStyle w:val="Tekstpodstawowy2"/>
        <w:spacing w:line="276" w:lineRule="auto"/>
        <w:rPr>
          <w:color w:val="FF0000"/>
        </w:rPr>
      </w:pPr>
      <w:r w:rsidRPr="0036310A">
        <w:rPr>
          <w:b/>
          <w:bCs/>
        </w:rPr>
        <w:t>ĆWICZENIE 5.</w:t>
      </w:r>
      <w:r>
        <w:t xml:space="preserve"> </w:t>
      </w:r>
      <w:r w:rsidR="003B2289">
        <w:rPr>
          <w:color w:val="FF0000"/>
        </w:rPr>
        <w:t>02</w:t>
      </w:r>
      <w:r>
        <w:rPr>
          <w:color w:val="FF0000"/>
        </w:rPr>
        <w:t>.0</w:t>
      </w:r>
      <w:r w:rsidR="003B2289">
        <w:rPr>
          <w:color w:val="FF0000"/>
        </w:rPr>
        <w:t>3</w:t>
      </w:r>
      <w:r>
        <w:rPr>
          <w:color w:val="FF0000"/>
        </w:rPr>
        <w:t>.202</w:t>
      </w:r>
      <w:r w:rsidR="003B2289">
        <w:rPr>
          <w:color w:val="FF0000"/>
        </w:rPr>
        <w:t>5</w:t>
      </w:r>
      <w:r>
        <w:rPr>
          <w:color w:val="FF0000"/>
        </w:rPr>
        <w:t xml:space="preserve">. </w:t>
      </w:r>
      <w:r w:rsidR="007116B8">
        <w:t>Wrażliwość mikroflory chorobotwórczej na wybrane czynniki fizyczne i chemiczne wykorzystywane w gastronomii</w:t>
      </w:r>
      <w:r w:rsidR="00BF17BD">
        <w:t xml:space="preserve"> cz. II.</w:t>
      </w:r>
      <w:r>
        <w:rPr>
          <w:color w:val="FF0000"/>
        </w:rPr>
        <w:t xml:space="preserve"> </w:t>
      </w:r>
    </w:p>
    <w:p w14:paraId="41E0706B" w14:textId="5FB9BCE0" w:rsidR="007116B8" w:rsidRPr="0036310A" w:rsidRDefault="007116B8" w:rsidP="003B2289">
      <w:pPr>
        <w:pStyle w:val="Tekstpodstawowy2"/>
        <w:spacing w:line="276" w:lineRule="auto"/>
      </w:pPr>
      <w:r w:rsidRPr="00BF17BD">
        <w:rPr>
          <w:b/>
          <w:bCs/>
          <w:color w:val="4472C4" w:themeColor="accent1"/>
        </w:rPr>
        <w:t>Zaliczenie końcowe (poprawa kolokwium I, II,)</w:t>
      </w:r>
    </w:p>
    <w:p w14:paraId="5A4590D6" w14:textId="77777777" w:rsidR="007116B8" w:rsidRPr="0036310A" w:rsidRDefault="007116B8" w:rsidP="003B2289">
      <w:pPr>
        <w:spacing w:line="276" w:lineRule="auto"/>
        <w:jc w:val="both"/>
        <w:rPr>
          <w:b/>
          <w:bCs/>
          <w:sz w:val="21"/>
          <w:szCs w:val="21"/>
          <w:u w:val="single"/>
          <w:lang w:val="pl-PL"/>
        </w:rPr>
      </w:pPr>
    </w:p>
    <w:p w14:paraId="39D24506" w14:textId="77777777" w:rsidR="007116B8" w:rsidRPr="00630A7F" w:rsidRDefault="007116B8" w:rsidP="003B2289">
      <w:pPr>
        <w:spacing w:line="276" w:lineRule="auto"/>
        <w:jc w:val="both"/>
        <w:rPr>
          <w:b/>
          <w:bCs/>
          <w:lang w:val="pl-PL"/>
        </w:rPr>
      </w:pPr>
      <w:r w:rsidRPr="00630A7F">
        <w:rPr>
          <w:b/>
          <w:bCs/>
          <w:lang w:val="pl-PL"/>
        </w:rPr>
        <w:t>Literatura:</w:t>
      </w:r>
    </w:p>
    <w:p w14:paraId="35BA5EC0" w14:textId="0C37841B" w:rsidR="00EA6FA5" w:rsidRPr="0036310A" w:rsidRDefault="0036310A" w:rsidP="003B2289">
      <w:pPr>
        <w:spacing w:line="276" w:lineRule="auto"/>
        <w:jc w:val="both"/>
        <w:rPr>
          <w:sz w:val="21"/>
          <w:szCs w:val="21"/>
          <w:lang w:val="pl-PL"/>
        </w:rPr>
      </w:pPr>
      <w:r>
        <w:rPr>
          <w:i/>
          <w:sz w:val="21"/>
          <w:szCs w:val="21"/>
          <w:lang w:val="pl-PL"/>
        </w:rPr>
        <w:t xml:space="preserve">1/ </w:t>
      </w:r>
      <w:r w:rsidR="007116B8" w:rsidRPr="00BF17BD">
        <w:rPr>
          <w:i/>
          <w:sz w:val="21"/>
          <w:szCs w:val="21"/>
          <w:lang w:val="pl-PL"/>
        </w:rPr>
        <w:t>Mikrobiologia i higiena w przemyśle spożywczym</w:t>
      </w:r>
      <w:r w:rsidR="007116B8" w:rsidRPr="00BF17BD">
        <w:rPr>
          <w:sz w:val="21"/>
          <w:szCs w:val="21"/>
          <w:lang w:val="pl-PL"/>
        </w:rPr>
        <w:t xml:space="preserve">. Red. Z. Żakowska, H. </w:t>
      </w:r>
      <w:proofErr w:type="spellStart"/>
      <w:r w:rsidR="007116B8" w:rsidRPr="00BF17BD">
        <w:rPr>
          <w:sz w:val="21"/>
          <w:szCs w:val="21"/>
          <w:lang w:val="pl-PL"/>
        </w:rPr>
        <w:t>Stobińska</w:t>
      </w:r>
      <w:proofErr w:type="spellEnd"/>
      <w:r w:rsidR="007116B8" w:rsidRPr="00BF17BD">
        <w:rPr>
          <w:sz w:val="21"/>
          <w:szCs w:val="21"/>
          <w:lang w:val="pl-PL"/>
        </w:rPr>
        <w:t>. Wyd. PŁ, Łódź 2000.</w:t>
      </w:r>
      <w:r>
        <w:rPr>
          <w:sz w:val="21"/>
          <w:szCs w:val="21"/>
          <w:lang w:val="pl-PL"/>
        </w:rPr>
        <w:t xml:space="preserve"> 2/ </w:t>
      </w:r>
      <w:r w:rsidR="007116B8" w:rsidRPr="0036310A">
        <w:rPr>
          <w:i/>
          <w:iCs/>
          <w:sz w:val="21"/>
          <w:szCs w:val="21"/>
          <w:lang w:val="pl-PL"/>
        </w:rPr>
        <w:t>Mikrobiologia techniczna</w:t>
      </w:r>
      <w:r w:rsidR="007116B8" w:rsidRPr="0036310A">
        <w:rPr>
          <w:sz w:val="21"/>
          <w:szCs w:val="21"/>
          <w:lang w:val="pl-PL"/>
        </w:rPr>
        <w:t>. Red. Z. Libudzisz. Wyd. PŁ, Łódź 2000 i późniejsze.</w:t>
      </w:r>
      <w:r>
        <w:rPr>
          <w:sz w:val="21"/>
          <w:szCs w:val="21"/>
          <w:lang w:val="pl-PL"/>
        </w:rPr>
        <w:t xml:space="preserve"> 3/ </w:t>
      </w:r>
      <w:r w:rsidR="007116B8" w:rsidRPr="00BF17BD">
        <w:rPr>
          <w:iCs/>
          <w:sz w:val="21"/>
          <w:szCs w:val="21"/>
          <w:lang w:val="pl-PL"/>
        </w:rPr>
        <w:t>Rozporządzenia Komisji Europejskiej (WE) w sprawie kryteriów mikrobiologicznych.</w:t>
      </w:r>
      <w:r>
        <w:rPr>
          <w:sz w:val="21"/>
          <w:szCs w:val="21"/>
          <w:lang w:val="pl-PL"/>
        </w:rPr>
        <w:t xml:space="preserve"> 4/</w:t>
      </w:r>
      <w:r w:rsidR="007116B8" w:rsidRPr="00BF17BD">
        <w:rPr>
          <w:sz w:val="21"/>
          <w:szCs w:val="21"/>
          <w:lang w:val="pl-PL"/>
        </w:rPr>
        <w:t>Artykuły naukowe – wybór Studenta</w:t>
      </w:r>
    </w:p>
    <w:sectPr w:rsidR="00EA6FA5" w:rsidRPr="0036310A" w:rsidSect="005E6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Nagłówki CS)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A0249"/>
    <w:multiLevelType w:val="hybridMultilevel"/>
    <w:tmpl w:val="AEEE4E5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9593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B8"/>
    <w:rsid w:val="00066B4F"/>
    <w:rsid w:val="001C0DED"/>
    <w:rsid w:val="0036310A"/>
    <w:rsid w:val="003A756B"/>
    <w:rsid w:val="003B2289"/>
    <w:rsid w:val="005E6E2A"/>
    <w:rsid w:val="006C3A9D"/>
    <w:rsid w:val="007116B8"/>
    <w:rsid w:val="00791C9C"/>
    <w:rsid w:val="00BF17BD"/>
    <w:rsid w:val="00E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0D29"/>
  <w14:defaultImageDpi w14:val="32767"/>
  <w15:chartTrackingRefBased/>
  <w15:docId w15:val="{46A04C8B-3786-2541-B79A-0ED5B86E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7116B8"/>
    <w:rPr>
      <w:rFonts w:ascii="Times New Roman" w:eastAsia="Times New Roman" w:hAnsi="Times New Roman" w:cs="Times New Roman"/>
      <w:kern w:val="0"/>
      <w:lang w:val="en-GB"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C3A9D"/>
    <w:pPr>
      <w:keepNext/>
      <w:keepLines/>
      <w:spacing w:before="240"/>
      <w:jc w:val="both"/>
      <w:outlineLvl w:val="0"/>
    </w:pPr>
    <w:rPr>
      <w:rFonts w:eastAsiaTheme="majorEastAsia"/>
      <w:b/>
      <w:iCs/>
      <w:smallCap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3A9D"/>
    <w:pPr>
      <w:keepNext/>
      <w:keepLines/>
      <w:spacing w:before="40"/>
      <w:outlineLvl w:val="1"/>
    </w:pPr>
    <w:rPr>
      <w:rFonts w:eastAsiaTheme="majorEastAsia" w:cs="Times New Roman (Nagłówki CS)"/>
      <w:b/>
      <w:smallCaps/>
      <w:kern w:val="2"/>
      <w:sz w:val="28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A9D"/>
    <w:rPr>
      <w:rFonts w:ascii="Times New Roman" w:eastAsiaTheme="majorEastAsia" w:hAnsi="Times New Roman" w:cs="Times New Roman"/>
      <w:b/>
      <w:iCs/>
      <w:smallCap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C3A9D"/>
    <w:rPr>
      <w:rFonts w:ascii="Times New Roman" w:eastAsiaTheme="majorEastAsia" w:hAnsi="Times New Roman" w:cs="Times New Roman (Nagłówki CS)"/>
      <w:b/>
      <w:smallCaps/>
      <w:sz w:val="28"/>
      <w:szCs w:val="26"/>
    </w:rPr>
  </w:style>
  <w:style w:type="paragraph" w:styleId="Tytu">
    <w:name w:val="Title"/>
    <w:basedOn w:val="Normalny"/>
    <w:link w:val="TytuZnak"/>
    <w:qFormat/>
    <w:rsid w:val="007116B8"/>
    <w:pPr>
      <w:spacing w:line="360" w:lineRule="auto"/>
      <w:jc w:val="center"/>
    </w:pPr>
    <w:rPr>
      <w:b/>
      <w:bCs/>
      <w:color w:val="FF0000"/>
      <w:lang w:val="pl-PL"/>
    </w:rPr>
  </w:style>
  <w:style w:type="character" w:customStyle="1" w:styleId="TytuZnak">
    <w:name w:val="Tytuł Znak"/>
    <w:basedOn w:val="Domylnaczcionkaakapitu"/>
    <w:link w:val="Tytu"/>
    <w:rsid w:val="007116B8"/>
    <w:rPr>
      <w:rFonts w:ascii="Times New Roman" w:eastAsia="Times New Roman" w:hAnsi="Times New Roman" w:cs="Times New Roman"/>
      <w:b/>
      <w:bCs/>
      <w:color w:val="FF0000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nhideWhenUsed/>
    <w:rsid w:val="007116B8"/>
    <w:pPr>
      <w:spacing w:line="360" w:lineRule="auto"/>
      <w:jc w:val="both"/>
    </w:pPr>
    <w:rPr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7116B8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Chajęcka-Wierzchowska</dc:creator>
  <cp:keywords/>
  <dc:description/>
  <cp:lastModifiedBy>Wioleta Chajęcka-Wierzchowska</cp:lastModifiedBy>
  <cp:revision>2</cp:revision>
  <cp:lastPrinted>2025-02-25T09:11:00Z</cp:lastPrinted>
  <dcterms:created xsi:type="dcterms:W3CDTF">2025-02-25T09:11:00Z</dcterms:created>
  <dcterms:modified xsi:type="dcterms:W3CDTF">2025-02-25T09:11:00Z</dcterms:modified>
</cp:coreProperties>
</file>